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B1" w:rsidRPr="006F15D4" w:rsidRDefault="005F02B1" w:rsidP="00BA1F07">
      <w:pPr>
        <w:spacing w:after="0" w:line="240" w:lineRule="auto"/>
        <w:jc w:val="right"/>
        <w:rPr>
          <w:rFonts w:ascii="Sylfaen" w:hAnsi="Sylfaen"/>
          <w:i/>
          <w:sz w:val="24"/>
          <w:szCs w:val="24"/>
          <w:u w:val="single"/>
          <w:lang w:val="ka-GE"/>
        </w:rPr>
      </w:pPr>
      <w:r w:rsidRPr="006F15D4">
        <w:rPr>
          <w:rFonts w:ascii="Sylfaen" w:hAnsi="Sylfaen"/>
          <w:i/>
          <w:sz w:val="24"/>
          <w:szCs w:val="24"/>
          <w:u w:val="single"/>
          <w:lang w:val="ka-GE"/>
        </w:rPr>
        <w:t>პროექტი</w:t>
      </w:r>
    </w:p>
    <w:p w:rsidR="00754548" w:rsidRPr="006F15D4" w:rsidRDefault="00754548" w:rsidP="00BA1F07">
      <w:pPr>
        <w:spacing w:after="0" w:line="240" w:lineRule="auto"/>
        <w:jc w:val="center"/>
        <w:rPr>
          <w:rFonts w:ascii="Sylfaen" w:hAnsi="Sylfaen"/>
          <w:b/>
          <w:sz w:val="24"/>
          <w:szCs w:val="24"/>
          <w:lang w:val="ka-GE"/>
        </w:rPr>
      </w:pPr>
      <w:r w:rsidRPr="006F15D4">
        <w:rPr>
          <w:rFonts w:ascii="Sylfaen" w:hAnsi="Sylfaen"/>
          <w:b/>
          <w:sz w:val="24"/>
          <w:szCs w:val="24"/>
          <w:lang w:val="ka-GE"/>
        </w:rPr>
        <w:t>საქართველოს კანონი</w:t>
      </w:r>
    </w:p>
    <w:p w:rsidR="00AD3E02" w:rsidRPr="00FB1924" w:rsidRDefault="00AD3E02" w:rsidP="00AD3E02">
      <w:pPr>
        <w:shd w:val="clear" w:color="auto" w:fill="FFFFFF" w:themeFill="background1"/>
        <w:spacing w:after="0" w:line="240" w:lineRule="auto"/>
        <w:jc w:val="center"/>
        <w:rPr>
          <w:rFonts w:ascii="Sylfaen" w:hAnsi="Sylfaen"/>
          <w:b/>
          <w:sz w:val="24"/>
          <w:szCs w:val="24"/>
          <w:lang w:val="ka-GE"/>
        </w:rPr>
      </w:pPr>
      <w:r w:rsidRPr="00FB1924">
        <w:rPr>
          <w:rFonts w:ascii="Sylfaen" w:hAnsi="Sylfaen"/>
          <w:b/>
          <w:sz w:val="24"/>
          <w:szCs w:val="24"/>
          <w:lang w:val="ka-GE"/>
        </w:rPr>
        <w:t xml:space="preserve">საქართველოს </w:t>
      </w:r>
      <w:r w:rsidR="00A22241">
        <w:rPr>
          <w:rFonts w:ascii="Sylfaen" w:hAnsi="Sylfaen"/>
          <w:b/>
          <w:sz w:val="24"/>
          <w:szCs w:val="24"/>
          <w:lang w:val="ka-GE"/>
        </w:rPr>
        <w:t>საგადასახადო</w:t>
      </w:r>
      <w:r w:rsidRPr="00FB1924">
        <w:rPr>
          <w:rFonts w:ascii="Sylfaen" w:hAnsi="Sylfaen"/>
          <w:b/>
          <w:sz w:val="24"/>
          <w:szCs w:val="24"/>
          <w:lang w:val="ka-GE"/>
        </w:rPr>
        <w:t xml:space="preserve"> კოდექსში</w:t>
      </w:r>
    </w:p>
    <w:p w:rsidR="00754548" w:rsidRPr="006F15D4" w:rsidRDefault="00EE63CE" w:rsidP="00BA1F07">
      <w:pPr>
        <w:spacing w:after="0" w:line="240" w:lineRule="auto"/>
        <w:jc w:val="center"/>
        <w:rPr>
          <w:rFonts w:ascii="Sylfaen" w:hAnsi="Sylfaen"/>
          <w:b/>
          <w:sz w:val="24"/>
          <w:szCs w:val="24"/>
          <w:lang w:val="ka-GE"/>
        </w:rPr>
      </w:pPr>
      <w:r w:rsidRPr="00DF7DC2">
        <w:rPr>
          <w:rFonts w:ascii="Sylfaen" w:hAnsi="Sylfaen"/>
          <w:b/>
          <w:sz w:val="24"/>
          <w:szCs w:val="24"/>
          <w:lang w:val="ka-GE"/>
        </w:rPr>
        <w:t>ცვლილების</w:t>
      </w:r>
      <w:r w:rsidR="00754548" w:rsidRPr="00DF7DC2">
        <w:rPr>
          <w:rFonts w:ascii="Sylfaen" w:hAnsi="Sylfaen"/>
          <w:b/>
          <w:sz w:val="24"/>
          <w:szCs w:val="24"/>
          <w:lang w:val="ka-GE"/>
        </w:rPr>
        <w:t xml:space="preserve"> შეტანის</w:t>
      </w:r>
      <w:r w:rsidR="00754548" w:rsidRPr="006F15D4">
        <w:rPr>
          <w:rFonts w:ascii="Sylfaen" w:hAnsi="Sylfaen"/>
          <w:b/>
          <w:sz w:val="24"/>
          <w:szCs w:val="24"/>
          <w:lang w:val="ka-GE"/>
        </w:rPr>
        <w:t xml:space="preserve"> თაობაზე</w:t>
      </w:r>
    </w:p>
    <w:p w:rsidR="00754548" w:rsidRPr="006F15D4" w:rsidRDefault="00754548" w:rsidP="00BA1F07">
      <w:pPr>
        <w:spacing w:after="0" w:line="240" w:lineRule="auto"/>
        <w:jc w:val="center"/>
        <w:rPr>
          <w:rFonts w:ascii="Sylfaen" w:hAnsi="Sylfaen"/>
          <w:sz w:val="24"/>
          <w:szCs w:val="24"/>
          <w:lang w:val="ka-GE"/>
        </w:rPr>
      </w:pPr>
    </w:p>
    <w:p w:rsidR="00A22241" w:rsidRPr="00A22241" w:rsidRDefault="00754548" w:rsidP="00A22241">
      <w:pPr>
        <w:spacing w:after="0" w:line="240" w:lineRule="auto"/>
        <w:jc w:val="both"/>
        <w:rPr>
          <w:rFonts w:ascii="Sylfaen" w:hAnsi="Sylfaen"/>
          <w:sz w:val="24"/>
          <w:szCs w:val="24"/>
          <w:lang w:val="ka-GE"/>
        </w:rPr>
      </w:pPr>
      <w:r w:rsidRPr="006F15D4">
        <w:rPr>
          <w:rFonts w:ascii="Sylfaen" w:hAnsi="Sylfaen"/>
          <w:b/>
          <w:sz w:val="24"/>
          <w:szCs w:val="24"/>
          <w:lang w:val="ka-GE"/>
        </w:rPr>
        <w:t>მუხლი 1.</w:t>
      </w:r>
      <w:r w:rsidRPr="006F15D4">
        <w:rPr>
          <w:rFonts w:ascii="Sylfaen" w:hAnsi="Sylfaen"/>
          <w:sz w:val="24"/>
          <w:szCs w:val="24"/>
          <w:lang w:val="ka-GE"/>
        </w:rPr>
        <w:t xml:space="preserve"> </w:t>
      </w:r>
      <w:r w:rsidR="00A22241" w:rsidRPr="00A22241">
        <w:rPr>
          <w:rFonts w:ascii="Sylfaen" w:hAnsi="Sylfaen"/>
          <w:sz w:val="24"/>
          <w:szCs w:val="24"/>
          <w:lang w:val="ka-GE"/>
        </w:rPr>
        <w:t xml:space="preserve">საქართველოს საგადასახადო კოდექსში (საქართველოს საკანონმდებლო მაცნე, N54, 12.10.2010, მუხ. 343) </w:t>
      </w:r>
      <w:r w:rsidR="00A22241" w:rsidRPr="00A22241">
        <w:rPr>
          <w:rFonts w:ascii="Sylfaen" w:hAnsi="Sylfaen"/>
          <w:sz w:val="24"/>
          <w:szCs w:val="24"/>
        </w:rPr>
        <w:t>39-</w:t>
      </w:r>
      <w:r w:rsidR="00A22241" w:rsidRPr="00A22241">
        <w:rPr>
          <w:rFonts w:ascii="Sylfaen" w:hAnsi="Sylfaen"/>
          <w:sz w:val="24"/>
          <w:szCs w:val="24"/>
          <w:lang w:val="ka-GE"/>
        </w:rPr>
        <w:t xml:space="preserve">ე მუხლის მე-2 ნაწილს დაემატოს შემდეგი შინაარსის "შ" ქვეპუნქტი: </w:t>
      </w:r>
    </w:p>
    <w:p w:rsidR="00A22241" w:rsidRPr="00A22241" w:rsidRDefault="00A22241" w:rsidP="00A22241">
      <w:pPr>
        <w:spacing w:after="0" w:line="240" w:lineRule="auto"/>
        <w:rPr>
          <w:rFonts w:ascii="Sylfaen" w:hAnsi="Sylfaen"/>
          <w:b/>
          <w:sz w:val="24"/>
          <w:szCs w:val="24"/>
          <w:lang w:val="ka-GE"/>
        </w:rPr>
      </w:pPr>
    </w:p>
    <w:p w:rsidR="00284BD8" w:rsidRPr="00A22241" w:rsidRDefault="00A22241" w:rsidP="00A22241">
      <w:pPr>
        <w:spacing w:after="0" w:line="240" w:lineRule="auto"/>
        <w:jc w:val="both"/>
        <w:rPr>
          <w:rFonts w:ascii="Sylfaen" w:hAnsi="Sylfaen"/>
          <w:sz w:val="24"/>
          <w:szCs w:val="24"/>
          <w:lang w:val="ka-GE"/>
        </w:rPr>
      </w:pPr>
      <w:r w:rsidRPr="00A22241">
        <w:rPr>
          <w:rFonts w:ascii="Sylfaen" w:hAnsi="Sylfaen"/>
          <w:color w:val="000000"/>
          <w:sz w:val="24"/>
          <w:szCs w:val="24"/>
        </w:rPr>
        <w:t xml:space="preserve">„შ) </w:t>
      </w:r>
      <w:proofErr w:type="gramStart"/>
      <w:r w:rsidRPr="00A22241">
        <w:rPr>
          <w:rFonts w:ascii="Sylfaen" w:hAnsi="Sylfaen"/>
          <w:sz w:val="24"/>
          <w:szCs w:val="24"/>
          <w:lang w:val="ka-GE"/>
        </w:rPr>
        <w:t>საქართველოს</w:t>
      </w:r>
      <w:proofErr w:type="gramEnd"/>
      <w:r w:rsidRPr="00A22241">
        <w:rPr>
          <w:rFonts w:ascii="Sylfaen" w:hAnsi="Sylfaen"/>
          <w:sz w:val="24"/>
          <w:szCs w:val="24"/>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 საჯარო სამართლის იურიდიულ პირს – საქართველოს შრომის ინსპექციის სამსახურს საქართველოს კანონმდებლობით გათვალისწინებული უფლებამოსილებების განხორციელებისას."</w:t>
      </w:r>
    </w:p>
    <w:p w:rsidR="00BA1F07" w:rsidRPr="006F15D4" w:rsidRDefault="00BA1F07"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r w:rsidRPr="006F15D4">
        <w:rPr>
          <w:rFonts w:ascii="Sylfaen" w:hAnsi="Sylfaen"/>
          <w:b/>
          <w:sz w:val="24"/>
          <w:szCs w:val="24"/>
          <w:lang w:val="ka-GE"/>
        </w:rPr>
        <w:t xml:space="preserve">მუხლი 2. </w:t>
      </w:r>
      <w:r w:rsidRPr="006F15D4">
        <w:rPr>
          <w:rFonts w:ascii="Sylfaen" w:eastAsia="Times New Roman" w:hAnsi="Sylfaen"/>
          <w:color w:val="111111"/>
          <w:sz w:val="24"/>
          <w:szCs w:val="24"/>
          <w:lang w:val="ka-GE"/>
        </w:rPr>
        <w:t>ეს კანონი ამოქმედდეს გამოქვეყნებისთანავე.</w:t>
      </w: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საქართველოს პრეზიდენტი                                               </w:t>
      </w: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სალომე ზურაბიშვილი</w:t>
      </w:r>
    </w:p>
    <w:tbl>
      <w:tblPr>
        <w:tblW w:w="4750" w:type="pct"/>
        <w:shd w:val="clear" w:color="auto" w:fill="EAEAEA"/>
        <w:tblCellMar>
          <w:top w:w="15" w:type="dxa"/>
          <w:left w:w="15" w:type="dxa"/>
          <w:bottom w:w="15" w:type="dxa"/>
          <w:right w:w="15" w:type="dxa"/>
        </w:tblCellMar>
        <w:tblLook w:val="04A0"/>
      </w:tblPr>
      <w:tblGrid>
        <w:gridCol w:w="113"/>
        <w:gridCol w:w="3000"/>
        <w:gridCol w:w="5779"/>
      </w:tblGrid>
      <w:tr w:rsidR="00284BD8" w:rsidRPr="006F15D4" w:rsidTr="00101DDC">
        <w:tc>
          <w:tcPr>
            <w:tcW w:w="0" w:type="auto"/>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3000" w:type="dxa"/>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0" w:type="auto"/>
            <w:shd w:val="clear" w:color="auto" w:fill="EAEAEA"/>
            <w:tcMar>
              <w:top w:w="0" w:type="dxa"/>
              <w:left w:w="30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r>
    </w:tbl>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Default="009341F0"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Pr="006F15D4" w:rsidRDefault="00A22241" w:rsidP="00BA1F07">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lastRenderedPageBreak/>
        <w:t>განმარტებითი ბარათი</w:t>
      </w: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t>საქართველოს კანონის პროექტზე</w:t>
      </w:r>
    </w:p>
    <w:p w:rsidR="00AD3E02" w:rsidRPr="00141505" w:rsidRDefault="009D2C1D" w:rsidP="00AD3E02">
      <w:pPr>
        <w:shd w:val="clear" w:color="auto" w:fill="FFFFFF" w:themeFill="background1"/>
        <w:spacing w:after="0" w:line="240" w:lineRule="auto"/>
        <w:jc w:val="center"/>
        <w:rPr>
          <w:rFonts w:ascii="Sylfaen" w:hAnsi="Sylfaen"/>
          <w:b/>
          <w:sz w:val="24"/>
          <w:szCs w:val="24"/>
        </w:rPr>
      </w:pPr>
      <w:r>
        <w:rPr>
          <w:rFonts w:ascii="Sylfaen" w:hAnsi="Sylfaen"/>
          <w:b/>
          <w:sz w:val="24"/>
          <w:szCs w:val="24"/>
          <w:lang w:val="ka-GE"/>
        </w:rPr>
        <w:t>„</w:t>
      </w:r>
      <w:r w:rsidR="00AD3E02" w:rsidRPr="00FB1924">
        <w:rPr>
          <w:rFonts w:ascii="Sylfaen" w:hAnsi="Sylfaen"/>
          <w:b/>
          <w:sz w:val="24"/>
          <w:szCs w:val="24"/>
          <w:lang w:val="ka-GE"/>
        </w:rPr>
        <w:t xml:space="preserve">საქართველოს </w:t>
      </w:r>
      <w:r w:rsidR="00A22241">
        <w:rPr>
          <w:rFonts w:ascii="Sylfaen" w:hAnsi="Sylfaen"/>
          <w:b/>
          <w:sz w:val="24"/>
          <w:szCs w:val="24"/>
          <w:lang w:val="ka-GE"/>
        </w:rPr>
        <w:t>საგადასახადო</w:t>
      </w:r>
      <w:r w:rsidR="00AD3E02" w:rsidRPr="00FB1924">
        <w:rPr>
          <w:rFonts w:ascii="Sylfaen" w:hAnsi="Sylfaen"/>
          <w:b/>
          <w:sz w:val="24"/>
          <w:szCs w:val="24"/>
          <w:lang w:val="ka-GE"/>
        </w:rPr>
        <w:t xml:space="preserve"> </w:t>
      </w:r>
      <w:r w:rsidR="00141505">
        <w:rPr>
          <w:rFonts w:ascii="Sylfaen" w:hAnsi="Sylfaen"/>
          <w:b/>
          <w:sz w:val="24"/>
          <w:szCs w:val="24"/>
          <w:lang w:val="ka-GE"/>
        </w:rPr>
        <w:t>კოდექსში“</w:t>
      </w:r>
    </w:p>
    <w:p w:rsidR="009341F0" w:rsidRPr="00141505" w:rsidRDefault="009D2C1D" w:rsidP="009D2C1D">
      <w:pPr>
        <w:shd w:val="clear" w:color="auto" w:fill="FFFFFF" w:themeFill="background1"/>
        <w:spacing w:after="0" w:line="240" w:lineRule="auto"/>
        <w:jc w:val="center"/>
        <w:rPr>
          <w:rFonts w:ascii="Sylfaen" w:hAnsi="Sylfaen"/>
          <w:b/>
          <w:sz w:val="24"/>
          <w:szCs w:val="24"/>
        </w:rPr>
      </w:pPr>
      <w:r w:rsidRPr="009D2C1D">
        <w:rPr>
          <w:rFonts w:ascii="Sylfaen" w:hAnsi="Sylfaen"/>
          <w:b/>
          <w:sz w:val="24"/>
          <w:szCs w:val="24"/>
          <w:lang w:val="ka-GE"/>
        </w:rPr>
        <w:t>ცვლილების</w:t>
      </w:r>
      <w:r w:rsidR="00AD3E02" w:rsidRPr="009D2C1D">
        <w:rPr>
          <w:rFonts w:ascii="Sylfaen" w:hAnsi="Sylfaen"/>
          <w:b/>
          <w:sz w:val="24"/>
          <w:szCs w:val="24"/>
          <w:lang w:val="ka-GE"/>
        </w:rPr>
        <w:t xml:space="preserve"> </w:t>
      </w:r>
      <w:r w:rsidR="009341F0" w:rsidRPr="009D2C1D">
        <w:rPr>
          <w:rFonts w:ascii="Sylfaen" w:hAnsi="Sylfaen"/>
          <w:b/>
          <w:sz w:val="24"/>
          <w:szCs w:val="24"/>
          <w:lang w:val="ka-GE"/>
        </w:rPr>
        <w:t xml:space="preserve">შეტანის </w:t>
      </w:r>
      <w:r>
        <w:rPr>
          <w:rFonts w:ascii="Sylfaen" w:hAnsi="Sylfaen"/>
          <w:b/>
          <w:sz w:val="24"/>
          <w:szCs w:val="24"/>
          <w:lang w:val="ka-GE"/>
        </w:rPr>
        <w:t>შესახებ</w:t>
      </w:r>
    </w:p>
    <w:p w:rsidR="009341F0" w:rsidRPr="006F15D4" w:rsidRDefault="009341F0" w:rsidP="009D2C1D">
      <w:pPr>
        <w:shd w:val="clear" w:color="auto" w:fill="FFFFFF" w:themeFill="background1"/>
        <w:spacing w:after="0" w:line="240" w:lineRule="auto"/>
        <w:jc w:val="center"/>
        <w:rPr>
          <w:rFonts w:ascii="Sylfaen" w:hAnsi="Sylfaen"/>
          <w:b/>
          <w:sz w:val="24"/>
          <w:szCs w:val="24"/>
          <w:lang w:val="ka-GE"/>
        </w:rPr>
      </w:pP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 ზოგადი ინფორმაცია კანონპროექტის შესახებ:</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 კანონპროექტის მიღების მიზეზი</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9341F0" w:rsidRPr="006F15D4" w:rsidRDefault="009341F0" w:rsidP="009341F0">
      <w:pPr>
        <w:spacing w:after="0" w:line="240" w:lineRule="auto"/>
        <w:jc w:val="both"/>
        <w:rPr>
          <w:rFonts w:ascii="Sylfaen" w:hAnsi="Sylfaen"/>
          <w:b/>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შრომი</w:t>
      </w:r>
      <w:r w:rsidR="004312CB">
        <w:rPr>
          <w:rFonts w:ascii="Sylfaen" w:hAnsi="Sylfaen"/>
          <w:sz w:val="24"/>
          <w:szCs w:val="24"/>
          <w:lang w:val="ka-GE"/>
        </w:rPr>
        <w:t>თი</w:t>
      </w:r>
      <w:r w:rsidRPr="006F15D4">
        <w:rPr>
          <w:rFonts w:ascii="Sylfaen" w:hAnsi="Sylfaen"/>
          <w:sz w:val="24"/>
          <w:szCs w:val="24"/>
          <w:lang w:val="ka-GE"/>
        </w:rPr>
        <w:t xml:space="preserve"> უფლებების და</w:t>
      </w:r>
      <w:r w:rsidR="00A06AE9">
        <w:rPr>
          <w:rFonts w:ascii="Sylfaen" w:hAnsi="Sylfaen"/>
          <w:sz w:val="24"/>
          <w:szCs w:val="24"/>
          <w:lang w:val="ka-GE"/>
        </w:rPr>
        <w:t xml:space="preserve"> შრომის </w:t>
      </w:r>
      <w:r w:rsidRPr="006F15D4">
        <w:rPr>
          <w:rFonts w:ascii="Sylfaen" w:hAnsi="Sylfaen"/>
          <w:sz w:val="24"/>
          <w:szCs w:val="24"/>
          <w:lang w:val="ka-GE"/>
        </w:rPr>
        <w:t>უსაფრთხოების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 2015 წელს, საქართველოს შრომის სამინისტროში შრომის პირობების ინსპექტირების დეპარტამენტი დაარსდა</w:t>
      </w:r>
      <w:r w:rsidR="00B20526" w:rsidRPr="006F15D4">
        <w:rPr>
          <w:rFonts w:ascii="Sylfaen" w:hAnsi="Sylfaen"/>
          <w:sz w:val="24"/>
          <w:szCs w:val="24"/>
          <w:lang w:val="ka-GE"/>
        </w:rPr>
        <w:t>.</w:t>
      </w:r>
      <w:r w:rsidRPr="006F15D4">
        <w:rPr>
          <w:rFonts w:ascii="Sylfaen" w:hAnsi="Sylfaen"/>
          <w:sz w:val="24"/>
          <w:szCs w:val="24"/>
          <w:lang w:val="ka-GE"/>
        </w:rPr>
        <w:t xml:space="preserve">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w:t>
      </w:r>
      <w:r w:rsidR="00911CE5" w:rsidRPr="006F15D4">
        <w:rPr>
          <w:rFonts w:ascii="Sylfaen" w:hAnsi="Sylfaen"/>
          <w:sz w:val="24"/>
          <w:szCs w:val="24"/>
          <w:lang w:val="ka-GE"/>
        </w:rPr>
        <w:t>.</w:t>
      </w:r>
      <w:r w:rsidRPr="006F15D4">
        <w:rPr>
          <w:rFonts w:ascii="Sylfaen" w:hAnsi="Sylfaen"/>
          <w:sz w:val="24"/>
          <w:szCs w:val="24"/>
          <w:lang w:val="ka-GE"/>
        </w:rPr>
        <w:t xml:space="preserve">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w:t>
      </w:r>
    </w:p>
    <w:p w:rsidR="00191BE0" w:rsidRPr="006F15D4" w:rsidRDefault="00191BE0" w:rsidP="00191BE0">
      <w:pPr>
        <w:spacing w:after="0" w:line="240" w:lineRule="auto"/>
        <w:jc w:val="both"/>
        <w:rPr>
          <w:rFonts w:ascii="Sylfaen" w:hAnsi="Sylfaen"/>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აღსანიშნავია, რომ შრომის ზედამხედველობის შესახებ რეგულაციები შრომის საერთაშორისო ორგანიზაციის (ILO) სტანდარტებსა და საქართველოს ნაკისრ საერთაშორისო ვალდებულებებს ჯერ კიდევ ვერ აკმაყოფილებს. საქართველოსა და ევროკავშირს შორის გაფორმებული ასოცირების შეთანხმების ფარგლებში, საქართველომ აიღო ვალდებულება, შრომის ეროვნული დებულებები ევროკავშირის კანონმდებლობას დაუახლოვოს</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1"/>
      </w:r>
      <w:r w:rsidRPr="006F15D4">
        <w:rPr>
          <w:rFonts w:ascii="Sylfaen" w:hAnsi="Sylfaen"/>
          <w:sz w:val="24"/>
          <w:szCs w:val="24"/>
          <w:lang w:val="ka-GE"/>
        </w:rPr>
        <w:t xml:space="preserve">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ურთიერთობის ყველა ასპექტზე</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2"/>
      </w:r>
      <w:r w:rsidR="00D76475">
        <w:rPr>
          <w:rFonts w:ascii="Sylfaen" w:hAnsi="Sylfaen"/>
          <w:sz w:val="24"/>
          <w:szCs w:val="24"/>
          <w:lang w:val="ka-GE"/>
        </w:rPr>
        <w:t xml:space="preserve"> </w:t>
      </w:r>
      <w:r w:rsidR="00D76475" w:rsidRPr="00661908">
        <w:rPr>
          <w:rFonts w:ascii="Sylfaen" w:hAnsi="Sylfaen"/>
          <w:sz w:val="24"/>
          <w:szCs w:val="24"/>
          <w:lang w:val="ka-GE"/>
        </w:rPr>
        <w:t xml:space="preserve">2018 წელს, საქართველოს სახალხო დამცველმა, </w:t>
      </w:r>
      <w:r w:rsidR="00D76475" w:rsidRPr="00661908">
        <w:rPr>
          <w:rFonts w:ascii="Sylfaen" w:hAnsi="Sylfaen"/>
          <w:sz w:val="24"/>
          <w:szCs w:val="24"/>
          <w:lang w:val="ka-GE"/>
        </w:rPr>
        <w:lastRenderedPageBreak/>
        <w:t>შრომის უსაფრთხოების ნორმების გამკაცრების საჭიროებასთან ერთად</w:t>
      </w:r>
      <w:r w:rsidR="00025B0B">
        <w:rPr>
          <w:rFonts w:ascii="Sylfaen" w:hAnsi="Sylfaen"/>
          <w:sz w:val="24"/>
          <w:szCs w:val="24"/>
          <w:lang w:val="ka-GE"/>
        </w:rPr>
        <w:t>,</w:t>
      </w:r>
      <w:r w:rsidR="00D76475" w:rsidRPr="00661908">
        <w:rPr>
          <w:rStyle w:val="FootnoteReference"/>
          <w:rFonts w:ascii="Sylfaen" w:hAnsi="Sylfaen"/>
          <w:sz w:val="24"/>
          <w:szCs w:val="24"/>
          <w:lang w:val="ka-GE"/>
        </w:rPr>
        <w:footnoteReference w:id="3"/>
      </w:r>
      <w:r w:rsidR="00D76475" w:rsidRPr="00661908">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00D76475">
        <w:rPr>
          <w:rFonts w:ascii="Sylfaen" w:hAnsi="Sylfaen"/>
          <w:sz w:val="24"/>
          <w:szCs w:val="24"/>
          <w:lang w:val="ka-GE"/>
        </w:rPr>
        <w:t>.</w:t>
      </w:r>
      <w:r w:rsidR="00D76475" w:rsidRPr="00661908">
        <w:rPr>
          <w:rStyle w:val="FootnoteReference"/>
          <w:rFonts w:ascii="Sylfaen" w:hAnsi="Sylfaen"/>
          <w:sz w:val="24"/>
          <w:szCs w:val="24"/>
          <w:lang w:val="ka-GE"/>
        </w:rPr>
        <w:footnoteReference w:id="4"/>
      </w:r>
    </w:p>
    <w:p w:rsidR="00191BE0" w:rsidRPr="006F15D4" w:rsidRDefault="00191BE0" w:rsidP="000B7252">
      <w:pPr>
        <w:spacing w:after="0" w:line="240" w:lineRule="auto"/>
        <w:jc w:val="both"/>
        <w:rPr>
          <w:rFonts w:ascii="Sylfaen" w:hAnsi="Sylfaen"/>
          <w:sz w:val="24"/>
          <w:szCs w:val="24"/>
          <w:lang w:val="ka-GE"/>
        </w:rPr>
      </w:pPr>
    </w:p>
    <w:p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სადაც წარმოდგენილია არაერთი კრ</w:t>
      </w:r>
      <w:r w:rsidR="00954602">
        <w:rPr>
          <w:rFonts w:ascii="Sylfaen" w:hAnsi="Sylfaen"/>
          <w:sz w:val="24"/>
          <w:szCs w:val="24"/>
          <w:lang w:val="ka-GE"/>
        </w:rPr>
        <w:t>ი</w:t>
      </w:r>
      <w:r w:rsidRPr="006F15D4">
        <w:rPr>
          <w:rFonts w:ascii="Sylfaen" w:hAnsi="Sylfaen"/>
          <w:sz w:val="24"/>
          <w:szCs w:val="24"/>
          <w:lang w:val="ka-GE"/>
        </w:rPr>
        <w:t>ტიკული შენიშვნა და რეკომენდაცია „შრომის კოდექსში“ შესატან ცვლილებებთან დაკავშირებით.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sidRPr="006F15D4">
        <w:rPr>
          <w:rStyle w:val="FootnoteReference"/>
          <w:rFonts w:ascii="Sylfaen" w:hAnsi="Sylfaen"/>
          <w:sz w:val="24"/>
          <w:szCs w:val="24"/>
          <w:lang w:val="ka-GE"/>
        </w:rPr>
        <w:footnoteReference w:id="7"/>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w:t>
      </w:r>
      <w:r w:rsidRPr="006F15D4">
        <w:rPr>
          <w:rFonts w:ascii="Sylfaen" w:hAnsi="Sylfaen"/>
          <w:sz w:val="24"/>
          <w:szCs w:val="24"/>
          <w:lang w:val="ka-GE"/>
        </w:rPr>
        <w:lastRenderedPageBreak/>
        <w:t>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8"/>
      </w:r>
      <w:r w:rsidRPr="006F15D4">
        <w:rPr>
          <w:rFonts w:ascii="Sylfaen" w:hAnsi="Sylfaen"/>
          <w:sz w:val="24"/>
          <w:szCs w:val="24"/>
          <w:lang w:val="ka-GE"/>
        </w:rPr>
        <w:t xml:space="preserve"> </w:t>
      </w:r>
    </w:p>
    <w:p w:rsidR="00532110" w:rsidRPr="006F15D4" w:rsidRDefault="00532110" w:rsidP="000B7252">
      <w:pPr>
        <w:spacing w:after="0" w:line="240" w:lineRule="auto"/>
        <w:jc w:val="both"/>
        <w:rPr>
          <w:rFonts w:ascii="Sylfaen" w:hAnsi="Sylfaen"/>
          <w:sz w:val="24"/>
          <w:szCs w:val="24"/>
          <w:lang w:val="ka-GE"/>
        </w:rPr>
      </w:pPr>
    </w:p>
    <w:p w:rsidR="00A048BB" w:rsidRPr="006F15D4" w:rsidRDefault="007E5FBB" w:rsidP="000B7252">
      <w:pPr>
        <w:spacing w:after="0" w:line="240" w:lineRule="auto"/>
        <w:jc w:val="both"/>
        <w:rPr>
          <w:rFonts w:ascii="Sylfaen" w:hAnsi="Sylfaen"/>
          <w:sz w:val="24"/>
          <w:szCs w:val="24"/>
          <w:lang w:val="ka-GE"/>
        </w:rPr>
      </w:pPr>
      <w:r w:rsidRPr="006F15D4">
        <w:rPr>
          <w:rFonts w:ascii="Sylfaen" w:hAnsi="Sylfaen"/>
          <w:sz w:val="24"/>
          <w:szCs w:val="24"/>
          <w:lang w:val="ka-GE"/>
        </w:rPr>
        <w:t xml:space="preserve">ზემოაღნიშნული გამოწვევების გათვალისწინებით მომზადდა </w:t>
      </w:r>
      <w:r w:rsidR="00253B3B" w:rsidRPr="006F15D4">
        <w:rPr>
          <w:rFonts w:ascii="Sylfaen" w:hAnsi="Sylfaen"/>
          <w:sz w:val="24"/>
          <w:szCs w:val="24"/>
          <w:lang w:val="ka-GE"/>
        </w:rPr>
        <w:t xml:space="preserve">ეროვნულ </w:t>
      </w:r>
      <w:r w:rsidRPr="006F15D4">
        <w:rPr>
          <w:rFonts w:ascii="Sylfaen" w:hAnsi="Sylfaen"/>
          <w:sz w:val="24"/>
          <w:szCs w:val="24"/>
          <w:lang w:val="ka-GE"/>
        </w:rPr>
        <w:t>შრომის სამართლის</w:t>
      </w:r>
      <w:r w:rsidR="00253B3B" w:rsidRPr="006F15D4">
        <w:rPr>
          <w:rFonts w:ascii="Sylfaen" w:hAnsi="Sylfaen"/>
          <w:sz w:val="24"/>
          <w:szCs w:val="24"/>
          <w:lang w:val="ka-GE"/>
        </w:rPr>
        <w:t xml:space="preserve"> მნიშვნელოვანი ცვლილებები, რომელიც ძირითადად გულისხმობს </w:t>
      </w:r>
      <w:r w:rsidR="000B7252" w:rsidRPr="006F15D4">
        <w:rPr>
          <w:rFonts w:ascii="Sylfaen" w:hAnsi="Sylfaen"/>
          <w:sz w:val="24"/>
          <w:szCs w:val="24"/>
          <w:lang w:val="ka-GE"/>
        </w:rPr>
        <w:t>საქართველოს ორგანულ კანონში  „საქართველოს შრომის კოდექსი“ ცვლილებ</w:t>
      </w:r>
      <w:r w:rsidR="00A048BB" w:rsidRPr="006F15D4">
        <w:rPr>
          <w:rFonts w:ascii="Sylfaen" w:hAnsi="Sylfaen"/>
          <w:sz w:val="24"/>
          <w:szCs w:val="24"/>
          <w:lang w:val="ka-GE"/>
        </w:rPr>
        <w:t>ებ</w:t>
      </w:r>
      <w:r w:rsidR="000B7252" w:rsidRPr="006F15D4">
        <w:rPr>
          <w:rFonts w:ascii="Sylfaen" w:hAnsi="Sylfaen"/>
          <w:sz w:val="24"/>
          <w:szCs w:val="24"/>
          <w:lang w:val="ka-GE"/>
        </w:rPr>
        <w:t>ის შეტან</w:t>
      </w:r>
      <w:r w:rsidR="00253B3B" w:rsidRPr="006F15D4">
        <w:rPr>
          <w:rFonts w:ascii="Sylfaen" w:hAnsi="Sylfaen"/>
          <w:sz w:val="24"/>
          <w:szCs w:val="24"/>
          <w:lang w:val="ka-GE"/>
        </w:rPr>
        <w:t xml:space="preserve">ას </w:t>
      </w:r>
      <w:r w:rsidR="000B7252" w:rsidRPr="006F15D4">
        <w:rPr>
          <w:rFonts w:ascii="Sylfaen" w:hAnsi="Sylfaen"/>
          <w:sz w:val="24"/>
          <w:szCs w:val="24"/>
          <w:lang w:val="ka-GE"/>
        </w:rPr>
        <w:t>და „შრომის ინსპექციის შესახებ“ საქართველოს კანონის</w:t>
      </w:r>
      <w:r w:rsidR="00A048BB" w:rsidRPr="006F15D4">
        <w:rPr>
          <w:rFonts w:ascii="Sylfaen" w:hAnsi="Sylfaen"/>
          <w:sz w:val="24"/>
          <w:szCs w:val="24"/>
          <w:lang w:val="ka-GE"/>
        </w:rPr>
        <w:t xml:space="preserve"> მიღებას </w:t>
      </w:r>
      <w:r w:rsidR="00AA6279" w:rsidRPr="006F15D4">
        <w:rPr>
          <w:rFonts w:ascii="Sylfaen" w:hAnsi="Sylfaen"/>
          <w:sz w:val="24"/>
          <w:szCs w:val="24"/>
          <w:lang w:val="ka-GE"/>
        </w:rPr>
        <w:t>(შემდგომში „შრომის სამართლის რეფორმის პაკეტი“).</w:t>
      </w:r>
      <w:r w:rsidR="000B7252" w:rsidRPr="006F15D4">
        <w:rPr>
          <w:rFonts w:ascii="Sylfaen" w:hAnsi="Sylfaen"/>
          <w:sz w:val="24"/>
          <w:szCs w:val="24"/>
          <w:lang w:val="ka-GE"/>
        </w:rPr>
        <w:t xml:space="preserve"> </w:t>
      </w:r>
      <w:r w:rsidR="00A048BB" w:rsidRPr="006F15D4">
        <w:rPr>
          <w:rFonts w:ascii="Sylfaen" w:hAnsi="Sylfaen"/>
          <w:sz w:val="24"/>
          <w:szCs w:val="24"/>
          <w:lang w:val="ka-GE"/>
        </w:rPr>
        <w:t xml:space="preserve">სწორედ </w:t>
      </w:r>
      <w:r w:rsidR="004B5B87">
        <w:rPr>
          <w:rFonts w:ascii="Sylfaen" w:hAnsi="Sylfaen"/>
          <w:sz w:val="24"/>
          <w:szCs w:val="24"/>
          <w:lang w:val="ka-GE"/>
        </w:rPr>
        <w:t>აღნიშნული</w:t>
      </w:r>
      <w:r w:rsidR="00A048BB" w:rsidRPr="006F15D4">
        <w:rPr>
          <w:rFonts w:ascii="Sylfaen" w:hAnsi="Sylfaen"/>
          <w:sz w:val="24"/>
          <w:szCs w:val="24"/>
          <w:lang w:val="ka-GE"/>
        </w:rPr>
        <w:t xml:space="preserve"> „შრომის სამართლის რეფორმის პაკეტის“ ნაწილია წარმოდგენილი კანონპროექტი.</w:t>
      </w:r>
    </w:p>
    <w:p w:rsidR="00A048BB" w:rsidRPr="006F15D4" w:rsidRDefault="00A048BB" w:rsidP="000B725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ნორმატიული ვალდებულება, საქართველოს შრომის სამინისტროში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ჩარჩო. წინამდებარე კანონპროექტის მიღების გარეშე, ვერ განისაზღვრება საჯარო სამართლის იურიდიული პირის ფუნციონირებისთვის აუცილებელი პრინციპები, უფლებამოსილების ფარგლები, საქმიანობის ფორმები და მისი დამოუკიდებლობის, გამჭვირვალობისა და ანგარიშვალდებულების სტანდარტები. მეორე მხრივ, საერთაშორისო პრაქტიკა აჩვენებს, რომ, კანონპროექტის მიღების გარეშე, სახელმწიფო ვერ განახორციელებს ქმედით ზედამხედველობას დამსაქმებელთა მიერ შრომის უფლებებისა და შრომითი უსაფრთხოების დაცვაზე.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კანონპროექტის მოსალოდნელი შედეგები: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Pr="006F15D4">
        <w:rPr>
          <w:rFonts w:ascii="Sylfaen" w:hAnsi="Sylfaen"/>
          <w:sz w:val="24"/>
          <w:szCs w:val="24"/>
          <w:lang w:val="ka-GE"/>
        </w:rPr>
        <w:t>კანონპროექტის მიღების შემთხვევაში, სახელმწიფო დამსაქმებელთა მიერ შრომის უფლებებისა და შრომითი უსაფრთხოების სტანდარტების დაცვაზე ქმედით ზედამხედველობას განახორციელებს.</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ა.გ) კანონპროექტის ძირითადი არსი</w:t>
      </w:r>
    </w:p>
    <w:p w:rsidR="00A048BB" w:rsidRPr="006F15D4" w:rsidRDefault="00A048BB" w:rsidP="009341F0">
      <w:pPr>
        <w:spacing w:after="0" w:line="240" w:lineRule="auto"/>
        <w:jc w:val="both"/>
        <w:rPr>
          <w:rFonts w:ascii="Sylfaen" w:hAnsi="Sylfaen"/>
          <w:b/>
          <w:sz w:val="24"/>
          <w:szCs w:val="24"/>
          <w:lang w:val="ka-GE"/>
        </w:rPr>
      </w:pPr>
    </w:p>
    <w:p w:rsidR="00A44B0A" w:rsidRPr="006F15D4" w:rsidRDefault="00A048BB" w:rsidP="005A1E02">
      <w:pPr>
        <w:spacing w:after="0" w:line="240" w:lineRule="auto"/>
        <w:jc w:val="both"/>
        <w:rPr>
          <w:rFonts w:ascii="Sylfaen" w:hAnsi="Sylfaen"/>
          <w:sz w:val="24"/>
          <w:szCs w:val="24"/>
          <w:lang w:val="ka-GE"/>
        </w:rPr>
      </w:pPr>
      <w:r w:rsidRPr="006F15D4">
        <w:rPr>
          <w:rFonts w:ascii="Sylfaen" w:hAnsi="Sylfaen"/>
          <w:sz w:val="24"/>
          <w:szCs w:val="24"/>
          <w:lang w:val="ka-GE"/>
        </w:rPr>
        <w:lastRenderedPageBreak/>
        <w:t>„შრომის სამართლის რეფორმის პაკეტის“ ფარგლებში წარმოდგენილია „შრომის ინსპექციის შესახებ“ საქართველოს კანონის პროექტი, რომლის თანახმადაც</w:t>
      </w:r>
      <w:r w:rsidR="005A1E02" w:rsidRPr="006F15D4">
        <w:rPr>
          <w:rFonts w:ascii="Sylfaen" w:hAnsi="Sylfaen"/>
          <w:sz w:val="24"/>
          <w:szCs w:val="24"/>
          <w:lang w:val="ka-GE"/>
        </w:rPr>
        <w:t xml:space="preserve">, </w:t>
      </w:r>
      <w:r w:rsidR="00AD3E02">
        <w:rPr>
          <w:rFonts w:ascii="Sylfaen" w:hAnsi="Sylfaen"/>
          <w:sz w:val="24"/>
          <w:szCs w:val="24"/>
          <w:lang w:val="ka-GE"/>
        </w:rPr>
        <w:t>იქმ</w:t>
      </w:r>
      <w:r w:rsidR="00025B0B">
        <w:rPr>
          <w:rFonts w:ascii="Sylfaen" w:hAnsi="Sylfaen"/>
          <w:sz w:val="24"/>
          <w:szCs w:val="24"/>
          <w:lang w:val="ka-GE"/>
        </w:rPr>
        <w:t>ნ</w:t>
      </w:r>
      <w:r w:rsidR="00AD3E02">
        <w:rPr>
          <w:rFonts w:ascii="Sylfaen" w:hAnsi="Sylfaen"/>
          <w:sz w:val="24"/>
          <w:szCs w:val="24"/>
          <w:lang w:val="ka-GE"/>
        </w:rPr>
        <w:t>ებ</w:t>
      </w:r>
      <w:r w:rsidR="00025B0B">
        <w:rPr>
          <w:rFonts w:ascii="Sylfaen" w:hAnsi="Sylfaen"/>
          <w:sz w:val="24"/>
          <w:szCs w:val="24"/>
          <w:lang w:val="ka-GE"/>
        </w:rPr>
        <w:t xml:space="preserve">ა საჯარო სამართლის იურიდიული პირი - შრომის ინსპექცია. </w:t>
      </w:r>
      <w:r w:rsidR="00A22241">
        <w:rPr>
          <w:rFonts w:ascii="Sylfaen" w:hAnsi="Sylfaen"/>
          <w:sz w:val="24"/>
          <w:szCs w:val="24"/>
          <w:lang w:val="ka-GE"/>
        </w:rPr>
        <w:t xml:space="preserve">„შრომის უსაფრთხოების შესახებ“ საქართვლოს ორგანული კანონის, ასევე „შრომის სამართლის რეფორმის პაკეტით“ გათვალისწინებული საქართველოს ორგანულ კანონში „საქართველოს შრომის კოდექსი“ შესატანი ცვლილებების თანახმად, შრომის ინსპექციას ადმინისტრაციული სახდელის – ჯარიმის გამოყენებას ახდენს დამსაქმებლის შემოსავლებისა და დღგ–ით დასაბეგრი ოპერაციის თანხების შესაბამისად. შრომის ინსპექციის გამართული ფუნქციონირებისთვის ერთ–ერთი განმსაზღვრელი საკითხია შრომის ინსპექტორის წვდომა ინსპექციას დაქვემდებარებული პირის საგადასახადო ინფორმაციაზე. </w:t>
      </w:r>
    </w:p>
    <w:p w:rsidR="009341F0" w:rsidRPr="006F15D4" w:rsidRDefault="009341F0" w:rsidP="009341F0">
      <w:pPr>
        <w:spacing w:after="0" w:line="240" w:lineRule="auto"/>
        <w:jc w:val="both"/>
        <w:rPr>
          <w:rFonts w:ascii="Sylfaen" w:hAnsi="Sylfaen" w:cs="Arial"/>
          <w:b/>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 კანონპროექტის ფინანსური დასაბუთება</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9341F0" w:rsidRPr="006F15D4" w:rsidRDefault="009341F0" w:rsidP="009341F0">
      <w:pPr>
        <w:spacing w:after="0" w:line="240" w:lineRule="auto"/>
        <w:jc w:val="both"/>
        <w:rPr>
          <w:rFonts w:ascii="Sylfaen" w:hAnsi="Sylfaen"/>
          <w:sz w:val="24"/>
          <w:szCs w:val="24"/>
          <w:lang w:val="ka-GE"/>
        </w:rPr>
      </w:pPr>
    </w:p>
    <w:p w:rsidR="003A148E" w:rsidRPr="006F15D4" w:rsidRDefault="003A148E" w:rsidP="003A148E">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9341F0" w:rsidRPr="006F15D4" w:rsidRDefault="009341F0" w:rsidP="009341F0">
      <w:pPr>
        <w:spacing w:after="0" w:line="240" w:lineRule="auto"/>
        <w:jc w:val="both"/>
        <w:rPr>
          <w:rFonts w:ascii="Sylfaen" w:hAnsi="Sylfaen"/>
          <w:sz w:val="24"/>
          <w:szCs w:val="24"/>
          <w:lang w:val="ka-GE"/>
        </w:rPr>
      </w:pPr>
    </w:p>
    <w:p w:rsidR="00437569" w:rsidRPr="006F15D4" w:rsidRDefault="00437569" w:rsidP="00437569">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 შეესაბამება ევროკავშირის სამართლს.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w:t>
      </w:r>
      <w:r w:rsidRPr="006F15D4">
        <w:rPr>
          <w:rFonts w:ascii="Sylfaen" w:hAnsi="Sylfaen"/>
          <w:b/>
          <w:sz w:val="24"/>
          <w:szCs w:val="24"/>
          <w:lang w:val="ka-GE"/>
        </w:rPr>
        <w:lastRenderedPageBreak/>
        <w:t>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შეესებამება ასოცირების შესახებ შეთანხმებას,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9341F0" w:rsidRPr="006F15D4" w:rsidRDefault="009341F0" w:rsidP="009341F0">
      <w:pPr>
        <w:spacing w:after="0" w:line="240" w:lineRule="auto"/>
        <w:jc w:val="both"/>
        <w:rPr>
          <w:rFonts w:ascii="Sylfaen" w:hAnsi="Sylfaen" w:cstheme="minorHAnsi"/>
          <w:b/>
          <w:sz w:val="24"/>
          <w:szCs w:val="24"/>
          <w:highlight w:val="yellow"/>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rsidR="009341F0" w:rsidRPr="006F15D4" w:rsidRDefault="009341F0" w:rsidP="009341F0">
      <w:pPr>
        <w:spacing w:after="0" w:line="240" w:lineRule="auto"/>
        <w:jc w:val="both"/>
        <w:rPr>
          <w:rFonts w:ascii="Sylfaen" w:hAnsi="Sylfaen" w:cstheme="minorHAnsi"/>
          <w:b/>
          <w:sz w:val="24"/>
          <w:szCs w:val="24"/>
          <w:lang w:val="ka-GE"/>
        </w:rPr>
      </w:pPr>
    </w:p>
    <w:p w:rsidR="001D08C5" w:rsidRPr="00F245B1" w:rsidRDefault="001D08C5" w:rsidP="001D08C5">
      <w:pPr>
        <w:autoSpaceDE w:val="0"/>
        <w:autoSpaceDN w:val="0"/>
        <w:adjustRightInd w:val="0"/>
        <w:spacing w:after="0" w:line="240" w:lineRule="auto"/>
        <w:jc w:val="both"/>
        <w:rPr>
          <w:rFonts w:ascii="Sylfaen" w:hAnsi="Sylfaen"/>
          <w:b/>
          <w:sz w:val="24"/>
          <w:szCs w:val="24"/>
        </w:rPr>
      </w:pPr>
      <w:proofErr w:type="spellStart"/>
      <w:r w:rsidRPr="00F245B1">
        <w:rPr>
          <w:rFonts w:ascii="Sylfaen" w:hAnsi="Sylfaen" w:cs="Sylfaen"/>
          <w:b/>
          <w:sz w:val="24"/>
          <w:szCs w:val="24"/>
        </w:rPr>
        <w:t>დ</w:t>
      </w:r>
      <w:r w:rsidRPr="00F245B1">
        <w:rPr>
          <w:rFonts w:ascii="Sylfaen" w:hAnsi="Sylfaen"/>
          <w:b/>
          <w:sz w:val="24"/>
          <w:szCs w:val="24"/>
        </w:rPr>
        <w:t>.</w:t>
      </w:r>
      <w:r w:rsidRPr="00F245B1">
        <w:rPr>
          <w:rFonts w:ascii="Sylfaen" w:hAnsi="Sylfaen" w:cs="Sylfaen"/>
          <w:b/>
          <w:sz w:val="24"/>
          <w:szCs w:val="24"/>
        </w:rPr>
        <w:t>გ</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სხვა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ქვეყნების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მსგავსი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იმპლემენტაციის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სფეროში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რომელიც</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მაგალითად</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იქნა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გამოყენებული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მომზადებისას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ასეთი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შემთხვევაში</w:t>
      </w:r>
      <w:proofErr w:type="spellEnd"/>
      <w:r w:rsidRPr="00F245B1">
        <w:rPr>
          <w:rFonts w:ascii="Sylfaen" w:hAnsi="Sylfaen"/>
          <w:b/>
          <w:sz w:val="24"/>
          <w:szCs w:val="24"/>
        </w:rPr>
        <w:t xml:space="preserve">: </w:t>
      </w:r>
    </w:p>
    <w:p w:rsidR="001D08C5" w:rsidRPr="00F245B1" w:rsidRDefault="001D08C5" w:rsidP="001D08C5">
      <w:pPr>
        <w:autoSpaceDE w:val="0"/>
        <w:autoSpaceDN w:val="0"/>
        <w:adjustRightInd w:val="0"/>
        <w:spacing w:after="0" w:line="240" w:lineRule="auto"/>
        <w:jc w:val="both"/>
        <w:rPr>
          <w:rFonts w:ascii="Sylfaen" w:hAnsi="Sylfaen"/>
          <w:sz w:val="24"/>
          <w:szCs w:val="24"/>
        </w:rPr>
      </w:pPr>
    </w:p>
    <w:p w:rsidR="001D08C5" w:rsidRPr="00F245B1" w:rsidRDefault="001D08C5" w:rsidP="001D08C5">
      <w:pPr>
        <w:autoSpaceDE w:val="0"/>
        <w:autoSpaceDN w:val="0"/>
        <w:adjustRightInd w:val="0"/>
        <w:spacing w:after="0" w:line="240" w:lineRule="auto"/>
        <w:jc w:val="both"/>
        <w:rPr>
          <w:rFonts w:ascii="Sylfaen" w:hAnsi="Sylfaen" w:cs="Sylfaen"/>
          <w:sz w:val="24"/>
          <w:szCs w:val="24"/>
          <w:lang w:val="ka-GE"/>
        </w:rPr>
      </w:pPr>
      <w:proofErr w:type="spellStart"/>
      <w:proofErr w:type="gramStart"/>
      <w:r w:rsidRPr="00F245B1">
        <w:rPr>
          <w:rFonts w:ascii="Sylfaen" w:hAnsi="Sylfaen" w:cs="Sylfaen"/>
          <w:sz w:val="24"/>
          <w:szCs w:val="24"/>
        </w:rPr>
        <w:t>ასეთი</w:t>
      </w:r>
      <w:proofErr w:type="spellEnd"/>
      <w:proofErr w:type="gramEnd"/>
      <w:r w:rsidRPr="00F245B1">
        <w:rPr>
          <w:rFonts w:ascii="Sylfaen" w:hAnsi="Sylfaen"/>
          <w:sz w:val="24"/>
          <w:szCs w:val="24"/>
        </w:rPr>
        <w:t xml:space="preserve"> </w:t>
      </w:r>
      <w:proofErr w:type="spellStart"/>
      <w:r w:rsidRPr="00F245B1">
        <w:rPr>
          <w:rFonts w:ascii="Sylfaen" w:hAnsi="Sylfaen" w:cs="Sylfaen"/>
          <w:sz w:val="24"/>
          <w:szCs w:val="24"/>
        </w:rPr>
        <w:t>მიმოხილვა</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არსებობს</w:t>
      </w:r>
      <w:proofErr w:type="spellEnd"/>
      <w:r w:rsidRPr="00F245B1">
        <w:rPr>
          <w:rFonts w:ascii="Sylfaen" w:hAnsi="Sylfaen"/>
          <w:sz w:val="24"/>
          <w:szCs w:val="24"/>
        </w:rPr>
        <w:t>.</w:t>
      </w:r>
    </w:p>
    <w:p w:rsidR="001D08C5" w:rsidRDefault="001D08C5"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ე) კანონპროექტის ავტორი: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წევრი დიმიტრი ცქიტიშვილი.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ვ) კანონპროექტის ინიციატორი:</w:t>
      </w:r>
    </w:p>
    <w:p w:rsidR="009341F0" w:rsidRPr="006F15D4" w:rsidRDefault="009341F0" w:rsidP="009341F0">
      <w:pPr>
        <w:spacing w:after="0" w:line="240" w:lineRule="auto"/>
        <w:rPr>
          <w:rFonts w:ascii="Sylfaen" w:hAnsi="Sylfaen" w:cstheme="minorHAnsi"/>
          <w:sz w:val="24"/>
          <w:szCs w:val="24"/>
          <w:lang w:val="ka-GE"/>
        </w:rPr>
      </w:pPr>
    </w:p>
    <w:p w:rsidR="007E50EC" w:rsidRPr="006F15D4" w:rsidRDefault="007E50EC" w:rsidP="007E50EC">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9341F0" w:rsidRPr="006F15D4" w:rsidRDefault="009341F0" w:rsidP="00BA1F07">
      <w:pPr>
        <w:spacing w:after="0" w:line="240" w:lineRule="auto"/>
        <w:jc w:val="both"/>
        <w:rPr>
          <w:rFonts w:ascii="Sylfaen" w:hAnsi="Sylfaen"/>
          <w:b/>
          <w:sz w:val="24"/>
          <w:szCs w:val="24"/>
          <w:lang w:val="ka-GE"/>
        </w:rPr>
      </w:pPr>
    </w:p>
    <w:sectPr w:rsidR="009341F0" w:rsidRPr="006F15D4" w:rsidSect="00F733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930" w:rsidRDefault="00CB1930" w:rsidP="009341F0">
      <w:pPr>
        <w:spacing w:after="0" w:line="240" w:lineRule="auto"/>
      </w:pPr>
      <w:r>
        <w:separator/>
      </w:r>
    </w:p>
  </w:endnote>
  <w:endnote w:type="continuationSeparator" w:id="0">
    <w:p w:rsidR="00CB1930" w:rsidRDefault="00CB1930" w:rsidP="0093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930" w:rsidRDefault="00CB1930" w:rsidP="009341F0">
      <w:pPr>
        <w:spacing w:after="0" w:line="240" w:lineRule="auto"/>
      </w:pPr>
      <w:r>
        <w:separator/>
      </w:r>
    </w:p>
  </w:footnote>
  <w:footnote w:type="continuationSeparator" w:id="0">
    <w:p w:rsidR="00CB1930" w:rsidRDefault="00CB1930" w:rsidP="009341F0">
      <w:pPr>
        <w:spacing w:after="0" w:line="240" w:lineRule="auto"/>
      </w:pPr>
      <w:r>
        <w:continuationSeparator/>
      </w:r>
    </w:p>
  </w:footnote>
  <w:footnote w:id="1">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ხელმისაწვდომია ბმულზე: </w:t>
      </w:r>
      <w:hyperlink r:id="rId1" w:history="1">
        <w:r w:rsidRPr="00A048BB">
          <w:rPr>
            <w:rStyle w:val="Hyperlink"/>
            <w:rFonts w:ascii="Sylfaen" w:hAnsi="Sylfaen"/>
            <w:sz w:val="18"/>
            <w:szCs w:val="18"/>
            <w:lang w:val="ka-GE"/>
          </w:rPr>
          <w:t>https://matsne.gov.ge/ka/document/view/2496959</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2">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w:t>
      </w:r>
      <w:r w:rsidRPr="00A048BB">
        <w:rPr>
          <w:rFonts w:ascii="Sylfaen" w:hAnsi="Sylfaen"/>
          <w:sz w:val="18"/>
          <w:szCs w:val="18"/>
          <w:lang w:val="ka-GE"/>
        </w:rPr>
        <w:t xml:space="preserve">იხ. </w:t>
      </w:r>
      <w:r w:rsidRPr="00A048BB">
        <w:rPr>
          <w:rFonts w:ascii="Sylfaen" w:hAnsi="Sylfaen"/>
          <w:sz w:val="18"/>
          <w:szCs w:val="18"/>
          <w:lang w:val="ka-GE"/>
        </w:rPr>
        <w:t xml:space="preserve">ევროკავშირსა და საქართველოს შორის ასოცირების 2017-2020 წწ. დღის წესრიგი. ხელმისაწვდომია ბმულზე: </w:t>
      </w:r>
      <w:hyperlink r:id="rId2" w:history="1">
        <w:r w:rsidRPr="00A048BB">
          <w:rPr>
            <w:rStyle w:val="Hyperlink"/>
            <w:rFonts w:ascii="Sylfaen" w:hAnsi="Sylfaen"/>
            <w:sz w:val="18"/>
            <w:szCs w:val="18"/>
            <w:lang w:val="ka-GE"/>
          </w:rPr>
          <w:t>https://eeas.europa.eu/sites/eeas/files/annex_ii_-_eu-georgia_association_agenda_text.pdf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3">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w:t>
      </w:r>
      <w:r w:rsidRPr="000228CE">
        <w:rPr>
          <w:rFonts w:ascii="Sylfaen" w:hAnsi="Sylfaen" w:cstheme="minorHAnsi"/>
          <w:lang w:val="ka-GE"/>
        </w:rPr>
        <w:t xml:space="preserve">საქართველოს </w:t>
      </w:r>
      <w:r w:rsidRPr="000228CE">
        <w:rPr>
          <w:rFonts w:ascii="Sylfaen" w:hAnsi="Sylfaen" w:cstheme="minorHAnsi"/>
          <w:lang w:val="ka-GE"/>
        </w:rPr>
        <w:t xml:space="preserve">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3" w:history="1">
        <w:r w:rsidRPr="000228CE">
          <w:rPr>
            <w:rStyle w:val="Hyperlink"/>
            <w:rFonts w:ascii="Sylfaen" w:hAnsi="Sylfaen" w:cstheme="minorHAnsi"/>
            <w:lang w:val="ka-GE"/>
          </w:rPr>
          <w:t>http://ombudsman.ge/res/docs/2019042620571319466.pdf</w:t>
        </w:r>
      </w:hyperlink>
      <w:r w:rsidRPr="000228CE">
        <w:rPr>
          <w:rFonts w:ascii="Sylfaen" w:hAnsi="Sylfaen" w:cstheme="minorHAnsi"/>
          <w:lang w:val="ka-GE"/>
        </w:rPr>
        <w:t xml:space="preserve"> [ბოლო ნახვა: 29 აგვისტო, 2019]. </w:t>
      </w:r>
    </w:p>
  </w:footnote>
  <w:footnote w:id="4">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w:t>
      </w:r>
      <w:r w:rsidRPr="000228CE">
        <w:rPr>
          <w:rFonts w:ascii="Sylfaen" w:hAnsi="Sylfaen" w:cstheme="minorHAnsi"/>
          <w:lang w:val="ka-GE"/>
        </w:rPr>
        <w:t xml:space="preserve">საქართველოს </w:t>
      </w:r>
      <w:r w:rsidRPr="000228CE">
        <w:rPr>
          <w:rFonts w:ascii="Sylfaen" w:hAnsi="Sylfaen" w:cstheme="minorHAnsi"/>
          <w:lang w:val="ka-GE"/>
        </w:rPr>
        <w:t xml:space="preserve">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hyperlink r:id="rId4" w:history="1">
        <w:r w:rsidRPr="000228CE">
          <w:rPr>
            <w:rStyle w:val="Hyperlink"/>
            <w:rFonts w:ascii="Sylfaen" w:hAnsi="Sylfaen" w:cstheme="minorHAnsi"/>
            <w:lang w:val="ka-GE"/>
          </w:rPr>
          <w:t>https://drive.google.com/file/d/1jlujQ6bN40WrlBJFukQx3wv326StelIl/view</w:t>
        </w:r>
      </w:hyperlink>
      <w:r w:rsidRPr="000228CE">
        <w:rPr>
          <w:rFonts w:ascii="Sylfaen" w:hAnsi="Sylfaen" w:cstheme="minorHAnsi"/>
          <w:lang w:val="ka-GE"/>
        </w:rPr>
        <w:t xml:space="preserve"> [ბოლო ნახვა: 29 აგვისტო, 2019].</w:t>
      </w:r>
    </w:p>
  </w:footnote>
  <w:footnote w:id="5">
    <w:p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hyperlink r:id="rId5" w:history="1">
        <w:r w:rsidRPr="00A048BB">
          <w:rPr>
            <w:rStyle w:val="Hyperlink"/>
            <w:sz w:val="18"/>
            <w:szCs w:val="18"/>
            <w:lang w:val="ka-GE"/>
          </w:rPr>
          <w:t>https://www.ilo.org/dyn/normlex/en/f?p=1000:11110:0::NO:11110:P11110_COUNTRY_ID,P11110_CONTEXT:102639,SC</w:t>
        </w:r>
      </w:hyperlink>
      <w:r w:rsidRPr="00A048BB">
        <w:rPr>
          <w:rFonts w:ascii="Sylfaen" w:hAnsi="Sylfaen"/>
          <w:sz w:val="18"/>
          <w:szCs w:val="18"/>
          <w:lang w:val="ka-GE"/>
        </w:rPr>
        <w:t xml:space="preserve"> </w:t>
      </w:r>
      <w:r w:rsidRPr="00A048BB">
        <w:rPr>
          <w:rFonts w:ascii="Sylfaen" w:hAnsi="Sylfaen" w:cstheme="minorHAnsi"/>
          <w:sz w:val="18"/>
          <w:szCs w:val="18"/>
          <w:lang w:val="ka-GE"/>
        </w:rPr>
        <w:t xml:space="preserve">[ბოლო </w:t>
      </w:r>
      <w:r w:rsidRPr="00A048BB">
        <w:rPr>
          <w:rFonts w:ascii="Sylfaen" w:hAnsi="Sylfaen" w:cstheme="minorHAnsi"/>
          <w:sz w:val="18"/>
          <w:szCs w:val="18"/>
          <w:lang w:val="ka-GE"/>
        </w:rPr>
        <w:t>ნახვა: 2 სექტემბერი, 2019].</w:t>
      </w:r>
    </w:p>
  </w:footnote>
  <w:footnote w:id="6">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w:t>
      </w:r>
      <w:r w:rsidRPr="00A048BB">
        <w:rPr>
          <w:rFonts w:ascii="Sylfaen" w:hAnsi="Sylfaen"/>
          <w:sz w:val="18"/>
          <w:szCs w:val="18"/>
          <w:lang w:val="ka-GE"/>
        </w:rPr>
        <w:t xml:space="preserve">ამერიკის </w:t>
      </w:r>
      <w:r w:rsidRPr="00A048BB">
        <w:rPr>
          <w:rFonts w:ascii="Sylfaen" w:hAnsi="Sylfaen"/>
          <w:sz w:val="18"/>
          <w:szCs w:val="18"/>
          <w:lang w:val="ka-GE"/>
        </w:rPr>
        <w:t xml:space="preserve">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hyperlink r:id="rId6" w:history="1">
        <w:r w:rsidRPr="00A048BB">
          <w:rPr>
            <w:rStyle w:val="Hyperlink"/>
            <w:rFonts w:ascii="Sylfaen" w:hAnsi="Sylfaen"/>
            <w:sz w:val="18"/>
            <w:szCs w:val="18"/>
            <w:lang w:val="ka-GE"/>
          </w:rPr>
          <w:t>https://www.state.gov/wp-content/uploads/2019/03/GEORGIA-2018-HUMAN-RIGHTS-REPORT.pdf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7">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w:t>
      </w:r>
      <w:r w:rsidRPr="00A048BB">
        <w:rPr>
          <w:rFonts w:ascii="Sylfaen" w:hAnsi="Sylfaen"/>
          <w:sz w:val="18"/>
          <w:szCs w:val="18"/>
          <w:lang w:val="ka-GE"/>
        </w:rPr>
        <w:t xml:space="preserve">იხ. </w:t>
      </w:r>
      <w:r w:rsidRPr="00A048BB">
        <w:rPr>
          <w:rFonts w:ascii="Sylfaen" w:hAnsi="Sylfaen"/>
          <w:sz w:val="18"/>
          <w:szCs w:val="18"/>
          <w:lang w:val="ka-GE"/>
        </w:rPr>
        <w:t xml:space="preserve">გაეროს ბიზნესისა და ადამიანის უფლბების სამუშაო ჯგუფის განცხადება. ხელმისაწვდომია ბმულზე: </w:t>
      </w:r>
      <w:hyperlink r:id="rId7" w:history="1">
        <w:r w:rsidRPr="00A048BB">
          <w:rPr>
            <w:rStyle w:val="Hyperlink"/>
            <w:rFonts w:ascii="Sylfaen" w:hAnsi="Sylfaen"/>
            <w:sz w:val="18"/>
            <w:szCs w:val="18"/>
            <w:lang w:val="ka-GE"/>
          </w:rPr>
          <w:t>https://www.ohchr.org/EN/NewsEvents/Pages/DisplayNews.aspx?NewsID=24474&amp;LangID=E</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8">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8"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754548"/>
    <w:rsid w:val="0000448E"/>
    <w:rsid w:val="00025B0B"/>
    <w:rsid w:val="000B7252"/>
    <w:rsid w:val="0010318D"/>
    <w:rsid w:val="00141505"/>
    <w:rsid w:val="00150BE3"/>
    <w:rsid w:val="00191BE0"/>
    <w:rsid w:val="001B4B29"/>
    <w:rsid w:val="001C591C"/>
    <w:rsid w:val="001D08C5"/>
    <w:rsid w:val="00203A1B"/>
    <w:rsid w:val="00234BB2"/>
    <w:rsid w:val="002375B7"/>
    <w:rsid w:val="00253B3B"/>
    <w:rsid w:val="002673AF"/>
    <w:rsid w:val="002735A7"/>
    <w:rsid w:val="00284BD8"/>
    <w:rsid w:val="002D0BD0"/>
    <w:rsid w:val="00320186"/>
    <w:rsid w:val="00387DFD"/>
    <w:rsid w:val="003A148E"/>
    <w:rsid w:val="003A2EE8"/>
    <w:rsid w:val="004312CB"/>
    <w:rsid w:val="00437569"/>
    <w:rsid w:val="004B5B87"/>
    <w:rsid w:val="004E5468"/>
    <w:rsid w:val="00521E2D"/>
    <w:rsid w:val="00532110"/>
    <w:rsid w:val="005525E4"/>
    <w:rsid w:val="0055448F"/>
    <w:rsid w:val="005877DE"/>
    <w:rsid w:val="005A1E02"/>
    <w:rsid w:val="005E2DB1"/>
    <w:rsid w:val="005F02B1"/>
    <w:rsid w:val="006307F0"/>
    <w:rsid w:val="00645CBB"/>
    <w:rsid w:val="006F15D4"/>
    <w:rsid w:val="00740FFA"/>
    <w:rsid w:val="00754548"/>
    <w:rsid w:val="00782D03"/>
    <w:rsid w:val="007B36E5"/>
    <w:rsid w:val="007E50EC"/>
    <w:rsid w:val="007E5FBB"/>
    <w:rsid w:val="00840EC8"/>
    <w:rsid w:val="00866107"/>
    <w:rsid w:val="00892ED5"/>
    <w:rsid w:val="0089729E"/>
    <w:rsid w:val="008E07BA"/>
    <w:rsid w:val="00911CE5"/>
    <w:rsid w:val="00916536"/>
    <w:rsid w:val="009341F0"/>
    <w:rsid w:val="00954602"/>
    <w:rsid w:val="009770A2"/>
    <w:rsid w:val="009D2C1D"/>
    <w:rsid w:val="00A048BB"/>
    <w:rsid w:val="00A06AE9"/>
    <w:rsid w:val="00A16D79"/>
    <w:rsid w:val="00A20C54"/>
    <w:rsid w:val="00A21382"/>
    <w:rsid w:val="00A22241"/>
    <w:rsid w:val="00A23543"/>
    <w:rsid w:val="00A44B0A"/>
    <w:rsid w:val="00AA6279"/>
    <w:rsid w:val="00AC79F4"/>
    <w:rsid w:val="00AD3E02"/>
    <w:rsid w:val="00B20526"/>
    <w:rsid w:val="00B66E6B"/>
    <w:rsid w:val="00B80CC4"/>
    <w:rsid w:val="00BA1F07"/>
    <w:rsid w:val="00BA7032"/>
    <w:rsid w:val="00BE1A11"/>
    <w:rsid w:val="00C145B9"/>
    <w:rsid w:val="00C14FD6"/>
    <w:rsid w:val="00C30C24"/>
    <w:rsid w:val="00CA12C1"/>
    <w:rsid w:val="00CB1930"/>
    <w:rsid w:val="00CC4C33"/>
    <w:rsid w:val="00D026F4"/>
    <w:rsid w:val="00D76475"/>
    <w:rsid w:val="00DF7DC2"/>
    <w:rsid w:val="00E54F1C"/>
    <w:rsid w:val="00E5617E"/>
    <w:rsid w:val="00EE63CE"/>
    <w:rsid w:val="00EF6B86"/>
    <w:rsid w:val="00F052E8"/>
    <w:rsid w:val="00F248F8"/>
    <w:rsid w:val="00F53029"/>
    <w:rsid w:val="00F73380"/>
    <w:rsid w:val="00FC1A09"/>
    <w:rsid w:val="00FF2075"/>
    <w:rsid w:val="00FF3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hrw.org/report/2019/08/22/no-year-without-deaths/decade-deregulation-puts-georgian-miners-risk" TargetMode="External"/><Relationship Id="rId3" Type="http://schemas.openxmlformats.org/officeDocument/2006/relationships/hyperlink" Target="http://ombudsman.ge/res/docs/2019042620571319466.pdf" TargetMode="External"/><Relationship Id="rId7" Type="http://schemas.openxmlformats.org/officeDocument/2006/relationships/hyperlink" Target="https://www.ohchr.org/EN/NewsEvents/Pages/DisplayNews.aspx?NewsID=24474&amp;LangID=E" TargetMode="External"/><Relationship Id="rId2" Type="http://schemas.openxmlformats.org/officeDocument/2006/relationships/hyperlink" Target="https://eeas.europa.eu/sites/eeas/files/annex_ii_-_eu-georgia_association_agenda_text.pdf" TargetMode="External"/><Relationship Id="rId1" Type="http://schemas.openxmlformats.org/officeDocument/2006/relationships/hyperlink" Target="https://matsne.gov.ge/ka/document/view/2496959" TargetMode="External"/><Relationship Id="rId6" Type="http://schemas.openxmlformats.org/officeDocument/2006/relationships/hyperlink" Target="https://www.state.gov/wp-content/uploads/2019/03/GEORGIA-2018-HUMAN-RIGHTS-REPORT.pdf" TargetMode="External"/><Relationship Id="rId5" Type="http://schemas.openxmlformats.org/officeDocument/2006/relationships/hyperlink" Target="https://www.ilo.org/dyn/normlex/en/f?p=1000:11110:0::NO:11110:P11110_COUNTRY_ID,P11110_CONTEXT:102639,SC" TargetMode="External"/><Relationship Id="rId4" Type="http://schemas.openxmlformats.org/officeDocument/2006/relationships/hyperlink" Target="https://drive.google.com/file/d/1jlujQ6bN40WrlBJFukQx3wv326StelIl/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4B91-D4DE-4116-8F53-2DE6BC68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2018-07-11T13:58:00Z</dcterms:created>
  <dcterms:modified xsi:type="dcterms:W3CDTF">2020-02-28T11:14:00Z</dcterms:modified>
</cp:coreProperties>
</file>